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12B7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B207D7">
        <w:rPr>
          <w:rFonts w:ascii="Times New Roman" w:hAnsi="Times New Roman"/>
          <w:b/>
          <w:bCs/>
        </w:rPr>
        <w:tab/>
      </w:r>
      <w:r w:rsidR="00B207D7">
        <w:rPr>
          <w:rFonts w:ascii="Times New Roman" w:hAnsi="Times New Roman"/>
          <w:b/>
          <w:bCs/>
        </w:rPr>
        <w:tab/>
      </w:r>
    </w:p>
    <w:p w14:paraId="76FDAEA6" w14:textId="77777777" w:rsidR="0085747A" w:rsidRPr="009C54AE" w:rsidRDefault="0085747A" w:rsidP="0084060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221382" w14:textId="2E240BC7" w:rsidR="00445970" w:rsidRPr="00EA4832" w:rsidRDefault="00445970" w:rsidP="008406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01235">
        <w:rPr>
          <w:rFonts w:ascii="Corbel" w:hAnsi="Corbel"/>
          <w:sz w:val="20"/>
          <w:szCs w:val="20"/>
        </w:rPr>
        <w:t xml:space="preserve">ok akademicki </w:t>
      </w:r>
      <w:r w:rsidR="00DF12AB">
        <w:rPr>
          <w:rFonts w:ascii="Corbel" w:hAnsi="Corbel"/>
          <w:sz w:val="20"/>
          <w:szCs w:val="20"/>
        </w:rPr>
        <w:t>202</w:t>
      </w:r>
      <w:r w:rsidR="00E457C5">
        <w:rPr>
          <w:rFonts w:ascii="Corbel" w:hAnsi="Corbel"/>
          <w:sz w:val="20"/>
          <w:szCs w:val="20"/>
        </w:rPr>
        <w:t>5</w:t>
      </w:r>
      <w:r w:rsidR="00DF12AB">
        <w:rPr>
          <w:rFonts w:ascii="Corbel" w:hAnsi="Corbel"/>
          <w:sz w:val="20"/>
          <w:szCs w:val="20"/>
        </w:rPr>
        <w:t xml:space="preserve"> / 202</w:t>
      </w:r>
      <w:r w:rsidR="00E457C5">
        <w:rPr>
          <w:rFonts w:ascii="Corbel" w:hAnsi="Corbel"/>
          <w:sz w:val="20"/>
          <w:szCs w:val="20"/>
        </w:rPr>
        <w:t>6</w:t>
      </w:r>
    </w:p>
    <w:p w14:paraId="1F5350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3687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0F6BF" w14:textId="77777777" w:rsidTr="00B819C8">
        <w:tc>
          <w:tcPr>
            <w:tcW w:w="2694" w:type="dxa"/>
            <w:vAlign w:val="center"/>
          </w:tcPr>
          <w:p w14:paraId="78EFFD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E8102A" w14:textId="22360410" w:rsidR="0085747A" w:rsidRPr="00DF12AB" w:rsidRDefault="00501E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F12AB">
              <w:rPr>
                <w:rFonts w:ascii="Calibri" w:hAnsi="Calibri" w:cs="Calibri"/>
                <w:b w:val="0"/>
                <w:bCs/>
                <w:sz w:val="24"/>
                <w:szCs w:val="24"/>
                <w:shd w:val="clear" w:color="auto" w:fill="FFFFFF"/>
              </w:rPr>
              <w:t>Perswazja i manipulacja językowa</w:t>
            </w:r>
          </w:p>
        </w:tc>
      </w:tr>
      <w:tr w:rsidR="0085747A" w:rsidRPr="009C54AE" w14:paraId="6F97719F" w14:textId="77777777" w:rsidTr="00B819C8">
        <w:tc>
          <w:tcPr>
            <w:tcW w:w="2694" w:type="dxa"/>
            <w:vAlign w:val="center"/>
          </w:tcPr>
          <w:p w14:paraId="73C6CE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FC8C19" w14:textId="767A3206" w:rsidR="0085747A" w:rsidRPr="00501E5C" w:rsidRDefault="00840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34E6DB08" w14:textId="77777777" w:rsidTr="00B819C8">
        <w:tc>
          <w:tcPr>
            <w:tcW w:w="2694" w:type="dxa"/>
            <w:vAlign w:val="center"/>
          </w:tcPr>
          <w:p w14:paraId="1FEED91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0B6322" w14:textId="77777777" w:rsidR="0085747A" w:rsidRPr="00501E5C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E5C"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54E9DB3C" w14:textId="77777777" w:rsidTr="00B819C8">
        <w:tc>
          <w:tcPr>
            <w:tcW w:w="2694" w:type="dxa"/>
            <w:vAlign w:val="center"/>
          </w:tcPr>
          <w:p w14:paraId="176D86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BDA486" w14:textId="455DCF2A" w:rsidR="00E457C5" w:rsidRPr="00E457C5" w:rsidRDefault="00E457C5" w:rsidP="00E457C5">
            <w:pPr>
              <w:pStyle w:val="Odpowiedzi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7C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Pr="00E457C5">
              <w:rPr>
                <w:rFonts w:ascii="Corbel" w:hAnsi="Corbel"/>
                <w:b w:val="0"/>
                <w:bCs/>
                <w:sz w:val="24"/>
                <w:szCs w:val="24"/>
              </w:rPr>
              <w:t>Filologiczny</w:t>
            </w:r>
          </w:p>
          <w:p w14:paraId="5FDDA402" w14:textId="3F3DB10A" w:rsidR="0085747A" w:rsidRPr="00501E5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7FAC0D7" w14:textId="77777777" w:rsidTr="00B819C8">
        <w:tc>
          <w:tcPr>
            <w:tcW w:w="2694" w:type="dxa"/>
            <w:vAlign w:val="center"/>
          </w:tcPr>
          <w:p w14:paraId="2A8C6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306E0C" w14:textId="77777777" w:rsidR="0085747A" w:rsidRPr="00501E5C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E5C"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76E853E5" w14:textId="77777777" w:rsidTr="00B819C8">
        <w:tc>
          <w:tcPr>
            <w:tcW w:w="2694" w:type="dxa"/>
            <w:vAlign w:val="center"/>
          </w:tcPr>
          <w:p w14:paraId="79C4C2F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781C74" w14:textId="77777777" w:rsidR="0085747A" w:rsidRPr="00501E5C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E5C"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3DF624E7" w14:textId="77777777" w:rsidTr="00B819C8">
        <w:tc>
          <w:tcPr>
            <w:tcW w:w="2694" w:type="dxa"/>
            <w:vAlign w:val="center"/>
          </w:tcPr>
          <w:p w14:paraId="49E77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A0A566" w14:textId="77777777" w:rsidR="0085747A" w:rsidRPr="00501E5C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1E5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9F0A519" w14:textId="77777777" w:rsidTr="00B819C8">
        <w:tc>
          <w:tcPr>
            <w:tcW w:w="2694" w:type="dxa"/>
            <w:vAlign w:val="center"/>
          </w:tcPr>
          <w:p w14:paraId="26F28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0521DB" w14:textId="605059FF" w:rsidR="0085747A" w:rsidRPr="00501E5C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E5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E646CBF" w14:textId="77777777" w:rsidTr="00B819C8">
        <w:tc>
          <w:tcPr>
            <w:tcW w:w="2694" w:type="dxa"/>
            <w:vAlign w:val="center"/>
          </w:tcPr>
          <w:p w14:paraId="7FFAA8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BDFC5" w14:textId="629CFDFE" w:rsidR="0085747A" w:rsidRPr="00501E5C" w:rsidRDefault="00501E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3C07">
              <w:rPr>
                <w:rFonts w:ascii="Corbel" w:hAnsi="Corbel"/>
                <w:b w:val="0"/>
                <w:sz w:val="24"/>
                <w:szCs w:val="24"/>
              </w:rPr>
              <w:t>Semestr zimowy 202</w:t>
            </w:r>
            <w:r w:rsidR="00E457C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Pr="00743C07">
              <w:rPr>
                <w:rFonts w:ascii="Corbel" w:hAnsi="Corbel"/>
                <w:b w:val="0"/>
                <w:sz w:val="24"/>
                <w:szCs w:val="24"/>
              </w:rPr>
              <w:t>/202</w:t>
            </w:r>
            <w:r w:rsidR="00E457C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DDFA39E" w14:textId="77777777" w:rsidTr="00B819C8">
        <w:tc>
          <w:tcPr>
            <w:tcW w:w="2694" w:type="dxa"/>
            <w:vAlign w:val="center"/>
          </w:tcPr>
          <w:p w14:paraId="0DACAF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D9AD71" w14:textId="77777777" w:rsidR="0085747A" w:rsidRPr="00501E5C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E5C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CCCB9B8" w14:textId="77777777" w:rsidTr="00B819C8">
        <w:tc>
          <w:tcPr>
            <w:tcW w:w="2694" w:type="dxa"/>
            <w:vAlign w:val="center"/>
          </w:tcPr>
          <w:p w14:paraId="279496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5F8061" w14:textId="77777777" w:rsidR="00923D7D" w:rsidRPr="00501E5C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1E5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457C5" w14:paraId="24845B11" w14:textId="77777777" w:rsidTr="00B819C8">
        <w:tc>
          <w:tcPr>
            <w:tcW w:w="2694" w:type="dxa"/>
            <w:vAlign w:val="center"/>
          </w:tcPr>
          <w:p w14:paraId="24FD8F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7047EF" w14:textId="1E46868A" w:rsidR="0085747A" w:rsidRPr="00501E5C" w:rsidRDefault="00501E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d</w:t>
            </w:r>
            <w:r w:rsidRPr="00501E5C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r hab. prof. UR </w:t>
            </w:r>
            <w:proofErr w:type="spellStart"/>
            <w:r w:rsidRPr="00501E5C">
              <w:rPr>
                <w:rFonts w:ascii="Corbel" w:hAnsi="Corbel"/>
                <w:b w:val="0"/>
                <w:sz w:val="24"/>
                <w:szCs w:val="24"/>
                <w:lang w:val="de-DE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Bąk</w:t>
            </w:r>
            <w:proofErr w:type="spellEnd"/>
          </w:p>
        </w:tc>
      </w:tr>
      <w:tr w:rsidR="0085747A" w:rsidRPr="00E457C5" w14:paraId="68FB1FF0" w14:textId="77777777" w:rsidTr="00B819C8">
        <w:tc>
          <w:tcPr>
            <w:tcW w:w="2694" w:type="dxa"/>
            <w:vAlign w:val="center"/>
          </w:tcPr>
          <w:p w14:paraId="04A65A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E49A29" w14:textId="0E503485" w:rsidR="0085747A" w:rsidRPr="00501E5C" w:rsidRDefault="00501E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de-D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d</w:t>
            </w:r>
            <w:r w:rsidRPr="00501E5C"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r hab. prof. UR </w:t>
            </w:r>
            <w:proofErr w:type="spellStart"/>
            <w:r w:rsidRPr="00501E5C">
              <w:rPr>
                <w:rFonts w:ascii="Corbel" w:hAnsi="Corbel"/>
                <w:b w:val="0"/>
                <w:sz w:val="24"/>
                <w:szCs w:val="24"/>
                <w:lang w:val="de-DE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aweł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de-DE"/>
              </w:rPr>
              <w:t>Bąk</w:t>
            </w:r>
            <w:proofErr w:type="spellEnd"/>
          </w:p>
        </w:tc>
      </w:tr>
    </w:tbl>
    <w:p w14:paraId="05051C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25D3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2E98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ACCE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F1E8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61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106E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3E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FC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99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52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C9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83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CF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D0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13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9ABA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9275" w14:textId="381B6097" w:rsidR="00015B8F" w:rsidRPr="009C54AE" w:rsidRDefault="008406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zimowy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6467" w14:textId="3B77807F" w:rsidR="00015B8F" w:rsidRPr="009C54AE" w:rsidRDefault="00214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8B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BD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E3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D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78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30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6BAE" w14:textId="77777777" w:rsidR="00015B8F" w:rsidRPr="009C54AE" w:rsidRDefault="00933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347A4E5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2F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23A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4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49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17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56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90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3B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2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EB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31C5C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1B9F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BB39F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ACAA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079147" w14:textId="10988845" w:rsidR="0085747A" w:rsidRPr="009C54AE" w:rsidRDefault="00501E5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1E5C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5D09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4B73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930A25" w14:textId="77777777" w:rsidR="009C54AE" w:rsidRDefault="00B207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semestr  0  - zaliczenie </w:t>
      </w:r>
    </w:p>
    <w:p w14:paraId="7DF8F79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406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87CE3F" w14:textId="77777777" w:rsidTr="00745302">
        <w:tc>
          <w:tcPr>
            <w:tcW w:w="9670" w:type="dxa"/>
          </w:tcPr>
          <w:p w14:paraId="67F6F954" w14:textId="7648FF7C" w:rsidR="0085747A" w:rsidRPr="009C54AE" w:rsidRDefault="00501E5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08C8058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00436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27358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CD4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9F1C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81125F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E61640" w14:textId="77777777" w:rsidTr="00923D7D">
        <w:tc>
          <w:tcPr>
            <w:tcW w:w="851" w:type="dxa"/>
            <w:vAlign w:val="center"/>
          </w:tcPr>
          <w:p w14:paraId="74E98FA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38D23C" w14:textId="0303EE86" w:rsidR="0085747A" w:rsidRPr="009C54AE" w:rsidRDefault="00501E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0F76">
              <w:rPr>
                <w:rFonts w:ascii="Corbel" w:hAnsi="Corbel"/>
                <w:b w:val="0"/>
                <w:sz w:val="24"/>
                <w:szCs w:val="24"/>
              </w:rPr>
              <w:t>Zdobycie przez studenta wiedzy na temat perswazji, manipulacji</w:t>
            </w:r>
            <w:r w:rsidR="00C50F76" w:rsidRPr="00C50F76">
              <w:rPr>
                <w:rFonts w:ascii="Corbel" w:hAnsi="Corbel"/>
                <w:b w:val="0"/>
                <w:sz w:val="24"/>
                <w:szCs w:val="24"/>
              </w:rPr>
              <w:t xml:space="preserve">, dyskursu, </w:t>
            </w:r>
            <w:r w:rsidRPr="00C50F76">
              <w:rPr>
                <w:rFonts w:ascii="Corbel" w:hAnsi="Corbel"/>
                <w:b w:val="0"/>
                <w:sz w:val="24"/>
                <w:szCs w:val="24"/>
              </w:rPr>
              <w:t>kultury</w:t>
            </w:r>
            <w:r w:rsidR="00C50F76" w:rsidRPr="00C50F76">
              <w:rPr>
                <w:rFonts w:ascii="Corbel" w:hAnsi="Corbel"/>
                <w:b w:val="0"/>
                <w:sz w:val="24"/>
                <w:szCs w:val="24"/>
              </w:rPr>
              <w:t xml:space="preserve"> i wartości</w:t>
            </w:r>
          </w:p>
        </w:tc>
      </w:tr>
      <w:tr w:rsidR="0085747A" w:rsidRPr="009C54AE" w14:paraId="11FCB3F8" w14:textId="77777777" w:rsidTr="00923D7D">
        <w:tc>
          <w:tcPr>
            <w:tcW w:w="851" w:type="dxa"/>
            <w:vAlign w:val="center"/>
          </w:tcPr>
          <w:p w14:paraId="72F04F8B" w14:textId="3E1A75DB" w:rsidR="0085747A" w:rsidRPr="009C54AE" w:rsidRDefault="00501E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8286D7B" w14:textId="7B09C5A8" w:rsidR="0085747A" w:rsidRPr="009C54AE" w:rsidRDefault="00501E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zagadnień dot. relacji w społeczeństwie</w:t>
            </w:r>
            <w:r w:rsidR="00C50F7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dyskursu rozumianego jako praktyka społeczna, </w:t>
            </w:r>
            <w:r w:rsidR="00C50F76">
              <w:rPr>
                <w:rFonts w:ascii="Corbel" w:hAnsi="Corbel"/>
                <w:b w:val="0"/>
                <w:sz w:val="24"/>
                <w:szCs w:val="24"/>
              </w:rPr>
              <w:t xml:space="preserve">jego wpływu na postawy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podział</w:t>
            </w:r>
            <w:r w:rsidR="00C50F76">
              <w:rPr>
                <w:rFonts w:ascii="Corbel" w:hAnsi="Corbel"/>
                <w:b w:val="0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społeczeństwa na grupy o różnych orientacjach aksjologicznych</w:t>
            </w:r>
            <w:r w:rsidR="00C50F76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czynnik</w:t>
            </w:r>
            <w:r w:rsidR="00DF12AB">
              <w:rPr>
                <w:rFonts w:ascii="Corbel" w:hAnsi="Corbel"/>
                <w:b w:val="0"/>
                <w:sz w:val="24"/>
                <w:szCs w:val="24"/>
              </w:rPr>
              <w:t>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determinując</w:t>
            </w:r>
            <w:r w:rsidR="00DF12AB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 na funkcjonowanie działań </w:t>
            </w:r>
            <w:r w:rsidR="00C50F76">
              <w:rPr>
                <w:rFonts w:ascii="Corbel" w:hAnsi="Corbel"/>
                <w:b w:val="0"/>
                <w:sz w:val="24"/>
                <w:szCs w:val="24"/>
              </w:rPr>
              <w:t>perswazyjnych i manipulacyjnych</w:t>
            </w:r>
          </w:p>
        </w:tc>
      </w:tr>
      <w:tr w:rsidR="0085747A" w:rsidRPr="009C54AE" w14:paraId="1481D7F0" w14:textId="77777777" w:rsidTr="00923D7D">
        <w:tc>
          <w:tcPr>
            <w:tcW w:w="851" w:type="dxa"/>
            <w:vAlign w:val="center"/>
          </w:tcPr>
          <w:p w14:paraId="2690F1FC" w14:textId="7D928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50F7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A00F90" w14:textId="267B156D" w:rsidR="0085747A" w:rsidRPr="009C54AE" w:rsidRDefault="00C50F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Wyjaśnienie, dlaczego i w jaki sposób dyskurs oraz działania perswazyjne i manipulacyjne odwołują się do wartości</w:t>
            </w:r>
          </w:p>
        </w:tc>
      </w:tr>
      <w:tr w:rsidR="00C50F76" w:rsidRPr="009C54AE" w14:paraId="18B7F03E" w14:textId="77777777" w:rsidTr="00923D7D">
        <w:tc>
          <w:tcPr>
            <w:tcW w:w="851" w:type="dxa"/>
            <w:vAlign w:val="center"/>
          </w:tcPr>
          <w:p w14:paraId="75140F3B" w14:textId="72DE6D05" w:rsidR="00C50F76" w:rsidRPr="009C54AE" w:rsidRDefault="00C50F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D992F4A" w14:textId="02864C24" w:rsidR="00C50F76" w:rsidRPr="009C54AE" w:rsidRDefault="00C50F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kompetencji rozpoznawania różnych technik oraz strategii perswazyjnych i manipulacyjnych, którymi posługują się autorzy dyskursu, </w:t>
            </w:r>
            <w:r w:rsidR="00DF12AB">
              <w:rPr>
                <w:rFonts w:ascii="Corbel" w:hAnsi="Corbel"/>
                <w:b w:val="0"/>
                <w:sz w:val="24"/>
                <w:szCs w:val="24"/>
              </w:rPr>
              <w:t xml:space="preserve">którzy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starają się osiągnąć swe cele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perlokucyjne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odwołując się do wartości i kreując postawy adresatów działań dyskursywnych</w:t>
            </w:r>
          </w:p>
        </w:tc>
      </w:tr>
    </w:tbl>
    <w:p w14:paraId="5445D6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4C3EF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1790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F0A9910" w14:textId="77777777" w:rsidTr="0071620A">
        <w:tc>
          <w:tcPr>
            <w:tcW w:w="1701" w:type="dxa"/>
            <w:vAlign w:val="center"/>
          </w:tcPr>
          <w:p w14:paraId="510C56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51E4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DBC62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8D00F6" w14:textId="77777777" w:rsidTr="005E6E85">
        <w:tc>
          <w:tcPr>
            <w:tcW w:w="1701" w:type="dxa"/>
          </w:tcPr>
          <w:p w14:paraId="349EDC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D8A2E3E" w14:textId="27F74536" w:rsidR="0085747A" w:rsidRPr="009C54AE" w:rsidRDefault="004A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o kategoriach i zjawiskach dyskurs, perswazja, manipulacja, kultura</w:t>
            </w:r>
            <w:r w:rsidR="00D1429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wartości oraz relacjach </w:t>
            </w:r>
            <w:r w:rsidR="00D14298">
              <w:rPr>
                <w:rFonts w:ascii="Corbel" w:hAnsi="Corbel"/>
                <w:b w:val="0"/>
                <w:smallCaps w:val="0"/>
                <w:szCs w:val="24"/>
              </w:rPr>
              <w:t xml:space="preserve">zachodzących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nimi</w:t>
            </w:r>
          </w:p>
        </w:tc>
        <w:tc>
          <w:tcPr>
            <w:tcW w:w="1873" w:type="dxa"/>
          </w:tcPr>
          <w:p w14:paraId="491CE514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9C54AE" w14:paraId="36C3C8E0" w14:textId="77777777" w:rsidTr="005E6E85">
        <w:tc>
          <w:tcPr>
            <w:tcW w:w="1701" w:type="dxa"/>
          </w:tcPr>
          <w:p w14:paraId="606ACF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9DF469" w14:textId="7681D55E" w:rsidR="0085747A" w:rsidRPr="009C54AE" w:rsidRDefault="00D14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rozumie, jak funkcjonują</w:t>
            </w:r>
            <w:r w:rsidR="00DF12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w społeczeństwie, dyskurs publiczny, jego wpływ na postawy oraz zna różnicowanie się grup społecznych pod wpływem działań dyskursywnych, perswazyjnych i manipulacji oraz rolę aksjologicznych postaw ludzi</w:t>
            </w:r>
          </w:p>
        </w:tc>
        <w:tc>
          <w:tcPr>
            <w:tcW w:w="1873" w:type="dxa"/>
          </w:tcPr>
          <w:p w14:paraId="52B64D64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9C54AE" w14:paraId="74A412CE" w14:textId="77777777" w:rsidTr="005E6E85">
        <w:tc>
          <w:tcPr>
            <w:tcW w:w="1701" w:type="dxa"/>
          </w:tcPr>
          <w:p w14:paraId="0FFE0129" w14:textId="65D5DE5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A35C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E7F35D2" w14:textId="69D8A851" w:rsidR="0085747A" w:rsidRPr="009C54AE" w:rsidRDefault="00D14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znaczenia wartości w kontekście działań perswazyjnych i manipulacyjnych, ma świadomość wagi działań dyskursywnych odwołujących się do wartości</w:t>
            </w:r>
          </w:p>
        </w:tc>
        <w:tc>
          <w:tcPr>
            <w:tcW w:w="1873" w:type="dxa"/>
          </w:tcPr>
          <w:p w14:paraId="11408E69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4A35C1" w:rsidRPr="009C54AE" w14:paraId="44C1C3ED" w14:textId="77777777" w:rsidTr="005E6E85">
        <w:tc>
          <w:tcPr>
            <w:tcW w:w="1701" w:type="dxa"/>
          </w:tcPr>
          <w:p w14:paraId="755C7521" w14:textId="308CC2A5" w:rsidR="004A35C1" w:rsidRPr="009C54AE" w:rsidRDefault="004A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77065E48" w14:textId="4CA4FF26" w:rsidR="004A35C1" w:rsidRPr="009C54AE" w:rsidRDefault="00D14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rozpoznaje i krytycznie analizuje wypowiedzi, teksty, hiperteksty, spoty reklamowe i inne materiały medialne wartości, do których się odwołują</w:t>
            </w:r>
          </w:p>
        </w:tc>
        <w:tc>
          <w:tcPr>
            <w:tcW w:w="1873" w:type="dxa"/>
          </w:tcPr>
          <w:p w14:paraId="4A5BF48E" w14:textId="77777777" w:rsidR="004A35C1" w:rsidRDefault="004A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725FA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0B04EA" w14:textId="77777777" w:rsidR="004A35C1" w:rsidRPr="009C54AE" w:rsidRDefault="004A35C1" w:rsidP="004A35C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3BD1B" w14:textId="77777777" w:rsidR="004A35C1" w:rsidRPr="009C54AE" w:rsidRDefault="004A35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D269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C4F732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00C33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898EB3" w14:textId="77777777" w:rsidTr="00923D7D">
        <w:tc>
          <w:tcPr>
            <w:tcW w:w="9639" w:type="dxa"/>
          </w:tcPr>
          <w:p w14:paraId="4B4E8D25" w14:textId="77777777" w:rsidR="0085747A" w:rsidRPr="00DD5C60" w:rsidRDefault="0085747A" w:rsidP="00DD5C60">
            <w:pPr>
              <w:pStyle w:val="Akapitzlist"/>
              <w:spacing w:before="60" w:after="6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D5C6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193EF226" w14:textId="77777777" w:rsidTr="00923D7D">
        <w:tc>
          <w:tcPr>
            <w:tcW w:w="9639" w:type="dxa"/>
          </w:tcPr>
          <w:p w14:paraId="7B341CB9" w14:textId="0069DE51" w:rsidR="0085747A" w:rsidRPr="00DD5C60" w:rsidRDefault="00B80CB7" w:rsidP="00DD5C60">
            <w:pPr>
              <w:pStyle w:val="Akapitzlist"/>
              <w:spacing w:before="60" w:after="6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5C60">
              <w:rPr>
                <w:rFonts w:ascii="Corbel" w:hAnsi="Corbel"/>
                <w:sz w:val="24"/>
                <w:szCs w:val="24"/>
              </w:rPr>
              <w:t>Perswazja, manipulacja – wprowadzenie do pojęć</w:t>
            </w:r>
          </w:p>
        </w:tc>
      </w:tr>
      <w:tr w:rsidR="00B80CB7" w:rsidRPr="009C54AE" w14:paraId="08B1629A" w14:textId="77777777" w:rsidTr="00923D7D">
        <w:tc>
          <w:tcPr>
            <w:tcW w:w="9639" w:type="dxa"/>
          </w:tcPr>
          <w:p w14:paraId="1EDC68E9" w14:textId="2EACF90F" w:rsidR="00B80CB7" w:rsidRPr="00DD5C60" w:rsidRDefault="00B80CB7" w:rsidP="00DD5C60">
            <w:pPr>
              <w:pStyle w:val="Akapitzlist"/>
              <w:spacing w:before="60" w:after="6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lastRenderedPageBreak/>
              <w:t>Dyskurs jako praktyka społeczna, produkcja wiedzy i forma sprawowania władzy</w:t>
            </w:r>
          </w:p>
        </w:tc>
      </w:tr>
      <w:tr w:rsidR="00B80CB7" w:rsidRPr="009C54AE" w14:paraId="2EB62D5B" w14:textId="77777777" w:rsidTr="00923D7D">
        <w:tc>
          <w:tcPr>
            <w:tcW w:w="9639" w:type="dxa"/>
          </w:tcPr>
          <w:p w14:paraId="18206B04" w14:textId="1E06B5E1" w:rsidR="00B80CB7" w:rsidRPr="00DD5C60" w:rsidRDefault="00B80CB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t xml:space="preserve">Przestrzeń </w:t>
            </w:r>
            <w:r w:rsidR="0054067F">
              <w:rPr>
                <w:sz w:val="24"/>
                <w:szCs w:val="24"/>
              </w:rPr>
              <w:t xml:space="preserve">i narzędzia </w:t>
            </w:r>
            <w:r w:rsidRPr="00DD5C60">
              <w:rPr>
                <w:sz w:val="24"/>
                <w:szCs w:val="24"/>
              </w:rPr>
              <w:t>działań perswazyjnych. Czy domeną perswazji i manipulacji jest język czy dyskurs?</w:t>
            </w:r>
          </w:p>
        </w:tc>
      </w:tr>
      <w:tr w:rsidR="00B80CB7" w:rsidRPr="009C54AE" w14:paraId="1BC0EC17" w14:textId="77777777" w:rsidTr="00923D7D">
        <w:tc>
          <w:tcPr>
            <w:tcW w:w="9639" w:type="dxa"/>
          </w:tcPr>
          <w:p w14:paraId="4206D908" w14:textId="55978EB0" w:rsidR="00B80CB7" w:rsidRPr="00DD5C60" w:rsidRDefault="00B80CB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t>Językowe sposoby realizacji intencji perswazyjnej i manipulacji. Wprowadzenie do zagadnień semantyki i pragmatyki</w:t>
            </w:r>
          </w:p>
        </w:tc>
      </w:tr>
      <w:tr w:rsidR="00B80CB7" w:rsidRPr="009C54AE" w14:paraId="5DD2C61B" w14:textId="77777777" w:rsidTr="00923D7D">
        <w:tc>
          <w:tcPr>
            <w:tcW w:w="9639" w:type="dxa"/>
          </w:tcPr>
          <w:p w14:paraId="4EEC645B" w14:textId="1347CB68" w:rsidR="00B80CB7" w:rsidRPr="00DD5C60" w:rsidRDefault="00B80CB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t>Metafora - ujęcie kognitywne oraz metafora spragmatyzowana</w:t>
            </w:r>
            <w:r w:rsidR="00DD5C60">
              <w:rPr>
                <w:sz w:val="24"/>
                <w:szCs w:val="24"/>
              </w:rPr>
              <w:t xml:space="preserve"> jako narzędzi</w:t>
            </w:r>
            <w:r w:rsidR="00683927">
              <w:rPr>
                <w:sz w:val="24"/>
                <w:szCs w:val="24"/>
              </w:rPr>
              <w:t>a</w:t>
            </w:r>
            <w:r w:rsidR="00DD5C60">
              <w:rPr>
                <w:sz w:val="24"/>
                <w:szCs w:val="24"/>
              </w:rPr>
              <w:t xml:space="preserve"> perswazji i manipulacji</w:t>
            </w:r>
          </w:p>
        </w:tc>
      </w:tr>
      <w:tr w:rsidR="00B80CB7" w:rsidRPr="009C54AE" w14:paraId="65C4DA20" w14:textId="77777777" w:rsidTr="00923D7D">
        <w:tc>
          <w:tcPr>
            <w:tcW w:w="9639" w:type="dxa"/>
          </w:tcPr>
          <w:p w14:paraId="530E46F4" w14:textId="074B56CE" w:rsidR="00B80CB7" w:rsidRPr="00DD5C60" w:rsidRDefault="00B80CB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t xml:space="preserve">Eufemizm i </w:t>
            </w:r>
            <w:proofErr w:type="spellStart"/>
            <w:r w:rsidRPr="00DD5C60">
              <w:rPr>
                <w:sz w:val="24"/>
                <w:szCs w:val="24"/>
              </w:rPr>
              <w:t>dysfemizm</w:t>
            </w:r>
            <w:proofErr w:type="spellEnd"/>
            <w:r w:rsidRPr="00DD5C60">
              <w:rPr>
                <w:sz w:val="24"/>
                <w:szCs w:val="24"/>
              </w:rPr>
              <w:t xml:space="preserve"> jako językowe realizacje profilowania w dyskursie</w:t>
            </w:r>
          </w:p>
        </w:tc>
      </w:tr>
      <w:tr w:rsidR="00B80CB7" w:rsidRPr="009C54AE" w14:paraId="173DFC6E" w14:textId="77777777" w:rsidTr="00923D7D">
        <w:tc>
          <w:tcPr>
            <w:tcW w:w="9639" w:type="dxa"/>
          </w:tcPr>
          <w:p w14:paraId="67071F05" w14:textId="4E7728F6" w:rsidR="00B80CB7" w:rsidRPr="00DD5C60" w:rsidRDefault="00B80CB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proofErr w:type="spellStart"/>
            <w:r w:rsidRPr="00DD5C60">
              <w:rPr>
                <w:sz w:val="24"/>
                <w:szCs w:val="24"/>
              </w:rPr>
              <w:t>Presupozycja</w:t>
            </w:r>
            <w:proofErr w:type="spellEnd"/>
            <w:r w:rsidRPr="00DD5C60">
              <w:rPr>
                <w:sz w:val="24"/>
                <w:szCs w:val="24"/>
              </w:rPr>
              <w:t xml:space="preserve"> jako kategoria semantyczna i </w:t>
            </w:r>
            <w:r w:rsidR="00764FF7" w:rsidRPr="00DD5C60">
              <w:rPr>
                <w:sz w:val="24"/>
                <w:szCs w:val="24"/>
              </w:rPr>
              <w:t>s</w:t>
            </w:r>
            <w:r w:rsidRPr="00DD5C60">
              <w:rPr>
                <w:sz w:val="24"/>
                <w:szCs w:val="24"/>
              </w:rPr>
              <w:t>pragmatyzowana</w:t>
            </w:r>
          </w:p>
        </w:tc>
      </w:tr>
      <w:tr w:rsidR="00B80CB7" w:rsidRPr="009C54AE" w14:paraId="2D4FA76D" w14:textId="77777777" w:rsidTr="00923D7D">
        <w:tc>
          <w:tcPr>
            <w:tcW w:w="9639" w:type="dxa"/>
          </w:tcPr>
          <w:p w14:paraId="7CC504A2" w14:textId="6627999B" w:rsidR="00B80CB7" w:rsidRPr="00DD5C60" w:rsidRDefault="00B80CB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t>Działanie językowe – akty mowy</w:t>
            </w:r>
          </w:p>
        </w:tc>
      </w:tr>
      <w:tr w:rsidR="00B80CB7" w:rsidRPr="009C54AE" w14:paraId="1F5214C4" w14:textId="77777777" w:rsidTr="00923D7D">
        <w:tc>
          <w:tcPr>
            <w:tcW w:w="9639" w:type="dxa"/>
          </w:tcPr>
          <w:p w14:paraId="2192FF1F" w14:textId="2B7A499E" w:rsidR="00B80CB7" w:rsidRPr="00DD5C60" w:rsidRDefault="00B80CB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proofErr w:type="spellStart"/>
            <w:r w:rsidRPr="00DD5C60">
              <w:rPr>
                <w:sz w:val="24"/>
                <w:szCs w:val="24"/>
              </w:rPr>
              <w:t>Implikatura</w:t>
            </w:r>
            <w:proofErr w:type="spellEnd"/>
            <w:r w:rsidRPr="00DD5C60">
              <w:rPr>
                <w:sz w:val="24"/>
                <w:szCs w:val="24"/>
              </w:rPr>
              <w:t xml:space="preserve"> konwersacyjna </w:t>
            </w:r>
            <w:r w:rsidR="00DD5C60">
              <w:rPr>
                <w:sz w:val="24"/>
                <w:szCs w:val="24"/>
              </w:rPr>
              <w:t xml:space="preserve">jako </w:t>
            </w:r>
            <w:r w:rsidRPr="00DD5C60">
              <w:rPr>
                <w:sz w:val="24"/>
                <w:szCs w:val="24"/>
              </w:rPr>
              <w:t>kategoria pragmatyczna</w:t>
            </w:r>
            <w:r w:rsidR="00DD5C60">
              <w:rPr>
                <w:sz w:val="24"/>
                <w:szCs w:val="24"/>
              </w:rPr>
              <w:t xml:space="preserve"> </w:t>
            </w:r>
          </w:p>
        </w:tc>
      </w:tr>
      <w:tr w:rsidR="00764FF7" w:rsidRPr="009C54AE" w14:paraId="4BA8CF86" w14:textId="77777777" w:rsidTr="00923D7D">
        <w:tc>
          <w:tcPr>
            <w:tcW w:w="9639" w:type="dxa"/>
          </w:tcPr>
          <w:p w14:paraId="3C4C06AC" w14:textId="34056B0F" w:rsidR="00764FF7" w:rsidRPr="00DD5C60" w:rsidRDefault="00764FF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t xml:space="preserve">Perspektywa jako kategoria poznawcza </w:t>
            </w:r>
            <w:r w:rsidR="00683927">
              <w:rPr>
                <w:sz w:val="24"/>
                <w:szCs w:val="24"/>
              </w:rPr>
              <w:t>oraz</w:t>
            </w:r>
            <w:r w:rsidRPr="00DD5C60">
              <w:rPr>
                <w:sz w:val="24"/>
                <w:szCs w:val="24"/>
              </w:rPr>
              <w:t xml:space="preserve"> </w:t>
            </w:r>
            <w:proofErr w:type="spellStart"/>
            <w:r w:rsidR="00683927">
              <w:rPr>
                <w:sz w:val="24"/>
                <w:szCs w:val="24"/>
              </w:rPr>
              <w:t>perspektywizacja</w:t>
            </w:r>
            <w:proofErr w:type="spellEnd"/>
            <w:r w:rsidR="00683927">
              <w:rPr>
                <w:sz w:val="24"/>
                <w:szCs w:val="24"/>
              </w:rPr>
              <w:t xml:space="preserve"> jako sposób </w:t>
            </w:r>
            <w:r w:rsidRPr="00DD5C60">
              <w:rPr>
                <w:sz w:val="24"/>
                <w:szCs w:val="24"/>
              </w:rPr>
              <w:t>profilowania w dyskursie</w:t>
            </w:r>
          </w:p>
        </w:tc>
      </w:tr>
      <w:tr w:rsidR="00764FF7" w:rsidRPr="009C54AE" w14:paraId="4126B186" w14:textId="77777777" w:rsidTr="00923D7D">
        <w:tc>
          <w:tcPr>
            <w:tcW w:w="9639" w:type="dxa"/>
          </w:tcPr>
          <w:p w14:paraId="6AE07CF5" w14:textId="56C9EBC0" w:rsidR="00764FF7" w:rsidRPr="00DD5C60" w:rsidRDefault="00764FF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proofErr w:type="spellStart"/>
            <w:r w:rsidRPr="00DD5C60">
              <w:rPr>
                <w:sz w:val="24"/>
                <w:szCs w:val="24"/>
              </w:rPr>
              <w:t>Framing</w:t>
            </w:r>
            <w:proofErr w:type="spellEnd"/>
            <w:r w:rsidRPr="00DD5C60">
              <w:rPr>
                <w:sz w:val="24"/>
                <w:szCs w:val="24"/>
              </w:rPr>
              <w:t xml:space="preserve"> w dyskursach publicznych i</w:t>
            </w:r>
            <w:r w:rsidR="00683927">
              <w:rPr>
                <w:sz w:val="24"/>
                <w:szCs w:val="24"/>
              </w:rPr>
              <w:t xml:space="preserve"> w</w:t>
            </w:r>
            <w:r w:rsidRPr="00DD5C60">
              <w:rPr>
                <w:sz w:val="24"/>
                <w:szCs w:val="24"/>
              </w:rPr>
              <w:t xml:space="preserve"> reklamie</w:t>
            </w:r>
          </w:p>
        </w:tc>
      </w:tr>
      <w:tr w:rsidR="00764FF7" w:rsidRPr="009C54AE" w14:paraId="4D69D652" w14:textId="77777777" w:rsidTr="00923D7D">
        <w:tc>
          <w:tcPr>
            <w:tcW w:w="9639" w:type="dxa"/>
          </w:tcPr>
          <w:p w14:paraId="5594ED8B" w14:textId="6479F8E8" w:rsidR="00764FF7" w:rsidRPr="00DD5C60" w:rsidRDefault="00764FF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proofErr w:type="spellStart"/>
            <w:r w:rsidRPr="00DD5C60">
              <w:rPr>
                <w:sz w:val="24"/>
                <w:szCs w:val="24"/>
              </w:rPr>
              <w:t>Framing</w:t>
            </w:r>
            <w:proofErr w:type="spellEnd"/>
            <w:r w:rsidRPr="00DD5C60">
              <w:rPr>
                <w:sz w:val="24"/>
                <w:szCs w:val="24"/>
              </w:rPr>
              <w:t xml:space="preserve"> metaforyczny w relacjach intra- i </w:t>
            </w:r>
            <w:proofErr w:type="spellStart"/>
            <w:r w:rsidRPr="00DD5C60">
              <w:rPr>
                <w:sz w:val="24"/>
                <w:szCs w:val="24"/>
              </w:rPr>
              <w:t>interlingwalnych</w:t>
            </w:r>
            <w:proofErr w:type="spellEnd"/>
          </w:p>
        </w:tc>
      </w:tr>
      <w:tr w:rsidR="00764FF7" w:rsidRPr="009C54AE" w14:paraId="12046D00" w14:textId="77777777" w:rsidTr="00923D7D">
        <w:tc>
          <w:tcPr>
            <w:tcW w:w="9639" w:type="dxa"/>
          </w:tcPr>
          <w:p w14:paraId="220AC3C0" w14:textId="69F14F15" w:rsidR="00764FF7" w:rsidRPr="00DD5C60" w:rsidRDefault="00764FF7" w:rsidP="00DD5C60">
            <w:pPr>
              <w:spacing w:before="60" w:after="60" w:line="240" w:lineRule="auto"/>
              <w:rPr>
                <w:sz w:val="24"/>
                <w:szCs w:val="24"/>
              </w:rPr>
            </w:pPr>
            <w:r w:rsidRPr="00DD5C60">
              <w:rPr>
                <w:sz w:val="24"/>
                <w:szCs w:val="24"/>
              </w:rPr>
              <w:t>Perswazja i manipulacja w dyskursach specjalistycznych – wybrane zagadnienia z zakresu ekonomii</w:t>
            </w:r>
          </w:p>
        </w:tc>
      </w:tr>
    </w:tbl>
    <w:p w14:paraId="1DF6B8AE" w14:textId="77777777" w:rsidR="0085747A" w:rsidRPr="00B80CB7" w:rsidRDefault="0085747A" w:rsidP="009C54AE">
      <w:pPr>
        <w:spacing w:after="0" w:line="240" w:lineRule="auto"/>
        <w:rPr>
          <w:rFonts w:ascii="Corbel" w:hAnsi="Corbel"/>
          <w:sz w:val="24"/>
          <w:szCs w:val="24"/>
          <w:u w:val="single"/>
        </w:rPr>
      </w:pPr>
    </w:p>
    <w:p w14:paraId="1D179C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DE1FB1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A05F91" w14:textId="77777777" w:rsidTr="00923D7D">
        <w:tc>
          <w:tcPr>
            <w:tcW w:w="9639" w:type="dxa"/>
          </w:tcPr>
          <w:p w14:paraId="516AEA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9A0F79" w14:textId="77777777" w:rsidTr="00923D7D">
        <w:tc>
          <w:tcPr>
            <w:tcW w:w="9639" w:type="dxa"/>
          </w:tcPr>
          <w:p w14:paraId="5C7EF56C" w14:textId="0DB60132" w:rsidR="0085747A" w:rsidRPr="009C54AE" w:rsidRDefault="00DD5C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D0A0D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27F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9780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6C3D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6330A3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F1A7E1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6635FF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D646D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C9B65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64341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2E46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BD2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B36AF9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1BC47F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4E27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544A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CCFE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6E9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79C1C3A" w14:textId="77777777" w:rsidTr="00C05F44">
        <w:tc>
          <w:tcPr>
            <w:tcW w:w="1985" w:type="dxa"/>
            <w:vAlign w:val="center"/>
          </w:tcPr>
          <w:p w14:paraId="147260E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FB936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85172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7938AC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F75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0A9F" w:rsidRPr="009C54AE" w14:paraId="4C55BCAE" w14:textId="77777777" w:rsidTr="00093468">
        <w:tc>
          <w:tcPr>
            <w:tcW w:w="1985" w:type="dxa"/>
          </w:tcPr>
          <w:p w14:paraId="2D7330F3" w14:textId="77777777" w:rsidR="00E40A9F" w:rsidRPr="009C54AE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9B551" w14:textId="77777777" w:rsidR="00E40A9F" w:rsidRPr="00EF7196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wykładzie</w:t>
            </w:r>
          </w:p>
        </w:tc>
        <w:tc>
          <w:tcPr>
            <w:tcW w:w="2126" w:type="dxa"/>
          </w:tcPr>
          <w:p w14:paraId="561DB280" w14:textId="77777777" w:rsidR="00E40A9F" w:rsidRPr="009C54AE" w:rsidRDefault="00E40A9F" w:rsidP="00E40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A9F" w:rsidRPr="009C54AE" w14:paraId="1E2001A6" w14:textId="77777777" w:rsidTr="00093468">
        <w:tc>
          <w:tcPr>
            <w:tcW w:w="1985" w:type="dxa"/>
          </w:tcPr>
          <w:p w14:paraId="1034336F" w14:textId="77777777" w:rsidR="00E40A9F" w:rsidRPr="009C54AE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5E318" w14:textId="77777777" w:rsidR="00E40A9F" w:rsidRPr="009C54AE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wykładzie</w:t>
            </w:r>
          </w:p>
        </w:tc>
        <w:tc>
          <w:tcPr>
            <w:tcW w:w="2126" w:type="dxa"/>
          </w:tcPr>
          <w:p w14:paraId="2005EB49" w14:textId="77777777" w:rsidR="00E40A9F" w:rsidRPr="009C54AE" w:rsidRDefault="00E40A9F" w:rsidP="00E40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A9F" w:rsidRPr="009C54AE" w14:paraId="69BC353D" w14:textId="77777777" w:rsidTr="00093468">
        <w:tc>
          <w:tcPr>
            <w:tcW w:w="1985" w:type="dxa"/>
          </w:tcPr>
          <w:p w14:paraId="4CEC04A3" w14:textId="77777777" w:rsidR="00E40A9F" w:rsidRPr="009C54AE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14:paraId="157AB80F" w14:textId="77777777" w:rsidR="00E40A9F" w:rsidRPr="009C54AE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wykładzie</w:t>
            </w:r>
          </w:p>
        </w:tc>
        <w:tc>
          <w:tcPr>
            <w:tcW w:w="2126" w:type="dxa"/>
          </w:tcPr>
          <w:p w14:paraId="1FF3DEEF" w14:textId="77777777" w:rsidR="00E40A9F" w:rsidRPr="009C54AE" w:rsidRDefault="00E40A9F" w:rsidP="00E40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A9F" w:rsidRPr="009C54AE" w14:paraId="17D5864F" w14:textId="77777777" w:rsidTr="00093468">
        <w:tc>
          <w:tcPr>
            <w:tcW w:w="1985" w:type="dxa"/>
          </w:tcPr>
          <w:p w14:paraId="74534AC3" w14:textId="77777777" w:rsidR="00E40A9F" w:rsidRPr="009C54AE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14:paraId="3A68005E" w14:textId="77777777" w:rsidR="00E40A9F" w:rsidRPr="009C54AE" w:rsidRDefault="00E40A9F" w:rsidP="000934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analiza reklam pod kątem treści omawianych na wykładzie</w:t>
            </w:r>
          </w:p>
        </w:tc>
        <w:tc>
          <w:tcPr>
            <w:tcW w:w="2126" w:type="dxa"/>
          </w:tcPr>
          <w:p w14:paraId="42E2F4C8" w14:textId="77777777" w:rsidR="00E40A9F" w:rsidRPr="009C54AE" w:rsidRDefault="00E40A9F" w:rsidP="00E40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43B2E7C" w14:textId="77777777" w:rsidR="00E40A9F" w:rsidRPr="009C54AE" w:rsidRDefault="00E40A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E42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1A08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4132" w14:textId="77777777" w:rsidTr="00923D7D">
        <w:tc>
          <w:tcPr>
            <w:tcW w:w="9670" w:type="dxa"/>
          </w:tcPr>
          <w:p w14:paraId="1A180490" w14:textId="7070C0B3" w:rsidR="00923D7D" w:rsidRPr="009C54AE" w:rsidRDefault="00E40A9F" w:rsidP="00C313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aktywny udział w wykładzie (poprawne odpowiedzi na zadawane od czasu do czasu pytania prowadzącego), poza tym analiza 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 xml:space="preserve">wybranego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materiału 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 xml:space="preserve">medialnego zaobserwowanego w dyskursie publicznym. Analiza </w:t>
            </w:r>
            <w:r w:rsidR="00027240">
              <w:rPr>
                <w:rFonts w:ascii="Corbel" w:hAnsi="Corbel"/>
                <w:b w:val="0"/>
                <w:smallCaps w:val="0"/>
                <w:szCs w:val="24"/>
              </w:rPr>
              <w:t xml:space="preserve">ta 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>ma krótko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ilustr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</w:t>
            </w:r>
            <w:r w:rsidR="00027240">
              <w:rPr>
                <w:rFonts w:ascii="Corbel" w:hAnsi="Corbel"/>
                <w:b w:val="0"/>
                <w:smallCaps w:val="0"/>
                <w:szCs w:val="24"/>
              </w:rPr>
              <w:t>ę/techniki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strategi</w:t>
            </w:r>
            <w:r w:rsidR="00027240">
              <w:rPr>
                <w:rFonts w:ascii="Corbel" w:hAnsi="Corbel"/>
                <w:b w:val="0"/>
                <w:smallCaps w:val="0"/>
                <w:szCs w:val="24"/>
              </w:rPr>
              <w:t xml:space="preserve">ę/strategie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perswazyjne lub manipulacyjne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 xml:space="preserve">, z określeniem zjawiska omawianego na zajęciach, </w:t>
            </w:r>
            <w:r w:rsidR="00027240">
              <w:rPr>
                <w:rFonts w:ascii="Corbel" w:hAnsi="Corbel"/>
                <w:b w:val="0"/>
                <w:smallCaps w:val="0"/>
                <w:szCs w:val="24"/>
              </w:rPr>
              <w:t>ze zwróceniem uwagi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>skutecznoś</w:t>
            </w:r>
            <w:r w:rsidR="0002724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 xml:space="preserve"> bądź nieskutecznoś</w:t>
            </w:r>
            <w:r w:rsidR="0002724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 xml:space="preserve"> działań perswazyjnych bądź manipulacyjnych.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Analiza ta powinna zostać dostarczona drogą elektroniczną</w:t>
            </w:r>
            <w:r w:rsidR="00645BE1">
              <w:rPr>
                <w:rFonts w:ascii="Corbel" w:hAnsi="Corbel"/>
                <w:b w:val="0"/>
                <w:smallCaps w:val="0"/>
                <w:szCs w:val="24"/>
              </w:rPr>
              <w:t xml:space="preserve"> via MS Teams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Praca zostanie oceniona pozytywnie, jeśli uwzględnione zostaną w/w elementy.</w:t>
            </w:r>
          </w:p>
          <w:p w14:paraId="2673D125" w14:textId="77777777" w:rsidR="0085747A" w:rsidRPr="009C54AE" w:rsidRDefault="0085747A" w:rsidP="00C313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710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00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AEA8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7D56E37" w14:textId="77777777" w:rsidTr="003E1941">
        <w:tc>
          <w:tcPr>
            <w:tcW w:w="4962" w:type="dxa"/>
            <w:vAlign w:val="center"/>
          </w:tcPr>
          <w:p w14:paraId="7B8DA3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C06A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0EC5D9" w14:textId="77777777" w:rsidTr="00923D7D">
        <w:tc>
          <w:tcPr>
            <w:tcW w:w="4962" w:type="dxa"/>
          </w:tcPr>
          <w:p w14:paraId="21F1E29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8E6D95" w14:textId="7E5F0156" w:rsidR="0085747A" w:rsidRPr="009C54AE" w:rsidRDefault="00C31305" w:rsidP="00C313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5E8A2" w14:textId="77777777" w:rsidTr="00923D7D">
        <w:tc>
          <w:tcPr>
            <w:tcW w:w="4962" w:type="dxa"/>
          </w:tcPr>
          <w:p w14:paraId="67C8CBB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3BA93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D82B68" w14:textId="1DC349AA" w:rsidR="00C61DC5" w:rsidRPr="009C54AE" w:rsidRDefault="00C31305" w:rsidP="00C313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3FDAF6E" w14:textId="77777777" w:rsidTr="00923D7D">
        <w:tc>
          <w:tcPr>
            <w:tcW w:w="4962" w:type="dxa"/>
          </w:tcPr>
          <w:p w14:paraId="31BA5D0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58EB4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EA1E5E7" w14:textId="259EF0AD" w:rsidR="00C61DC5" w:rsidRPr="009C54AE" w:rsidRDefault="00C31305" w:rsidP="00C313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6B66F96F" w14:textId="77777777" w:rsidTr="00923D7D">
        <w:tc>
          <w:tcPr>
            <w:tcW w:w="4962" w:type="dxa"/>
          </w:tcPr>
          <w:p w14:paraId="363FC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CE1777" w14:textId="28C9E490" w:rsidR="0085747A" w:rsidRPr="009C54AE" w:rsidRDefault="00C31305" w:rsidP="00C313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7B6F0F0" w14:textId="77777777" w:rsidTr="00923D7D">
        <w:tc>
          <w:tcPr>
            <w:tcW w:w="4962" w:type="dxa"/>
          </w:tcPr>
          <w:p w14:paraId="687C02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8EB47" w14:textId="64522AC6" w:rsidR="0085747A" w:rsidRPr="009C54AE" w:rsidRDefault="00C31305" w:rsidP="00C313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4601A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B93A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9D5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F8048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319E03" w14:textId="77777777" w:rsidTr="0071620A">
        <w:trPr>
          <w:trHeight w:val="397"/>
        </w:trPr>
        <w:tc>
          <w:tcPr>
            <w:tcW w:w="3544" w:type="dxa"/>
          </w:tcPr>
          <w:p w14:paraId="0772E0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1DF44A" w14:textId="3C9CA643" w:rsidR="0085747A" w:rsidRPr="00C31305" w:rsidRDefault="00C31305" w:rsidP="00C31305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C31305">
              <w:rPr>
                <w:rFonts w:ascii="Corbel" w:hAnsi="Corbel"/>
                <w:b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C7845B" w14:textId="77777777" w:rsidTr="0071620A">
        <w:trPr>
          <w:trHeight w:val="397"/>
        </w:trPr>
        <w:tc>
          <w:tcPr>
            <w:tcW w:w="3544" w:type="dxa"/>
          </w:tcPr>
          <w:p w14:paraId="4787B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B13192" w14:textId="0C22B11F" w:rsidR="0085747A" w:rsidRPr="00C31305" w:rsidRDefault="00C31305" w:rsidP="00C31305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C31305">
              <w:rPr>
                <w:rFonts w:ascii="Corbel" w:hAnsi="Corbel"/>
                <w:bCs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E2D7A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0E8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AAF1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1209115" w14:textId="77777777" w:rsidTr="0071620A">
        <w:trPr>
          <w:trHeight w:val="397"/>
        </w:trPr>
        <w:tc>
          <w:tcPr>
            <w:tcW w:w="7513" w:type="dxa"/>
          </w:tcPr>
          <w:p w14:paraId="123A5899" w14:textId="77777777" w:rsidR="001D5335" w:rsidRPr="001D5335" w:rsidRDefault="001D5335" w:rsidP="001D5335">
            <w:pPr>
              <w:pStyle w:val="Punktygwne"/>
              <w:spacing w:after="0"/>
              <w:rPr>
                <w:rFonts w:ascii="Corbel" w:hAnsi="Corbel"/>
                <w:bCs/>
                <w:smallCaps w:val="0"/>
                <w:szCs w:val="24"/>
              </w:rPr>
            </w:pPr>
            <w:r w:rsidRPr="001D5335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32A4D84" w14:textId="77777777" w:rsidR="00DF7515" w:rsidRDefault="00DF7515" w:rsidP="00DF751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Bralczyk, Jerzy (2014):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Język na sprzedaż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. Sopot.</w:t>
            </w:r>
          </w:p>
          <w:p w14:paraId="764056BA" w14:textId="28E88D57" w:rsidR="001D5335" w:rsidRDefault="001D5335" w:rsidP="001D53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Czachur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, Waldemar (2020):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Lingwistyka dyskursu jako integrujący program badawczy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. Wrocław.</w:t>
            </w:r>
          </w:p>
          <w:p w14:paraId="23C2AC5B" w14:textId="77777777" w:rsidR="00DF7515" w:rsidRDefault="001D5335" w:rsidP="001D53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Kalisz Roman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(1993):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Pragmatyka językowa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9FBAC1" w14:textId="7DEF7C11" w:rsidR="001D5335" w:rsidRDefault="001D5335" w:rsidP="00DF751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Szczepankowska Irena (2011):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Semantyka i pragmatyka językowa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[…]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Białystok.</w:t>
            </w:r>
          </w:p>
          <w:p w14:paraId="01E205EE" w14:textId="77777777" w:rsidR="00DF7515" w:rsidRDefault="00DF7515" w:rsidP="00DF7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731FF6" w14:textId="59973065" w:rsidR="00DF7515" w:rsidRDefault="00DF7515" w:rsidP="00DF7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Żydek-Bednarczuk, Urszula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(2004):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F751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Zmiany w </w:t>
            </w:r>
            <w:proofErr w:type="spellStart"/>
            <w:r w:rsidRPr="00DF751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zachowaniach</w:t>
            </w:r>
            <w:proofErr w:type="spellEnd"/>
            <w:r w:rsidRPr="00DF751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komunikacyjnych a problem strategii i manipulacji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W: Krzyżanowski, Piotr/ Nowak, Paweł (red.) Manipulacja w języku, Wydawnictwo UMCS, Lublin</w:t>
            </w:r>
            <w:r w:rsidR="0024271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4EEFDDC" w14:textId="77777777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D5335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8776563" w14:textId="6CFEF043" w:rsid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Antos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, Gerd /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Opiłowski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, Roman (2015):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drodze do lingwistyki obrazu. Kierunki rozwoju nowej subdyscypliny lingwistycznej z perspektywy polsko-niemieckiej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7515" w:rsidRPr="001D533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: Tekst i dyskurs –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Text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und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Diskurs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8, 2015, s. 11-36.</w:t>
            </w:r>
          </w:p>
          <w:p w14:paraId="58F60AD6" w14:textId="77777777" w:rsid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Arystoteles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(1953):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Retoryka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FFDE29" w14:textId="77777777" w:rsidR="00DF7515" w:rsidRDefault="00DF7515" w:rsidP="00DF751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Barańczak, Stanisław (1975):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Słowo – perswazja – kultura masowa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. W: Twórczość 7, s. 24-41.</w:t>
            </w:r>
          </w:p>
          <w:p w14:paraId="08D7CF89" w14:textId="3A52E355" w:rsidR="00242716" w:rsidRPr="00242716" w:rsidRDefault="00242716" w:rsidP="0024271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42716">
              <w:rPr>
                <w:rFonts w:ascii="Corbel" w:hAnsi="Corbel"/>
                <w:b w:val="0"/>
                <w:smallCaps w:val="0"/>
                <w:szCs w:val="24"/>
              </w:rPr>
              <w:t xml:space="preserve">Bąk, Paweł (2010): </w:t>
            </w:r>
            <w:r w:rsidRPr="0024271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Granice retoryki. O kulturze w języku i kulturze języka na przykładzie mediów</w:t>
            </w:r>
            <w:r w:rsidRPr="00242716">
              <w:rPr>
                <w:rFonts w:ascii="Corbel" w:hAnsi="Corbel"/>
                <w:b w:val="0"/>
                <w:smallCaps w:val="0"/>
                <w:szCs w:val="24"/>
              </w:rPr>
              <w:t xml:space="preserve">. W: Chłopicki, Władysław/Jodłowiec, Maria (red.) Słowo w dialogu międzykulturowym. Język trzeciego tysiąclecia V. (= Język a komunikacja; 25. Kraków.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r w:rsidRPr="00242716">
              <w:rPr>
                <w:rFonts w:ascii="Corbel" w:hAnsi="Corbel"/>
                <w:b w:val="0"/>
                <w:smallCaps w:val="0"/>
                <w:szCs w:val="24"/>
              </w:rPr>
              <w:t>27-37.</w:t>
            </w:r>
          </w:p>
          <w:p w14:paraId="5BA511A7" w14:textId="3FFA43FE" w:rsidR="00242716" w:rsidRPr="00242716" w:rsidRDefault="00242716" w:rsidP="0024271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  <w:proofErr w:type="spellStart"/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Bąk</w:t>
            </w:r>
            <w:proofErr w:type="spellEnd"/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, </w:t>
            </w:r>
            <w:proofErr w:type="spellStart"/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Paweł</w:t>
            </w:r>
            <w:proofErr w:type="spellEnd"/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 (2017): </w:t>
            </w:r>
            <w:r w:rsidRPr="00242716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>Euphemismus als Charakteristikum von Textsorten und Diskursen am Beispiel der Arbeitszeugnisse</w:t>
            </w:r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. W: </w:t>
            </w:r>
            <w:proofErr w:type="spellStart"/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Garavelli</w:t>
            </w:r>
            <w:proofErr w:type="spellEnd"/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, Enrico/</w:t>
            </w:r>
            <w:r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 </w:t>
            </w:r>
            <w:r w:rsidRPr="00242716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Lenk, Hartmut E. H. (red.): Verhüllender Sprachgebrauch. Textsorten- und diskurstypische Euphemismen. Berlin. S. 39-59.</w:t>
            </w:r>
          </w:p>
          <w:p w14:paraId="77D02AB2" w14:textId="31BDA573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457C5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Czachur</w:t>
            </w:r>
            <w:proofErr w:type="spellEnd"/>
            <w:r w:rsidRPr="00E457C5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, Waldemar (2011): </w:t>
            </w:r>
            <w:proofErr w:type="spellStart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>Dyskursywny</w:t>
            </w:r>
            <w:proofErr w:type="spellEnd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 xml:space="preserve"> </w:t>
            </w:r>
            <w:proofErr w:type="spellStart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>obraz</w:t>
            </w:r>
            <w:proofErr w:type="spellEnd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 xml:space="preserve"> </w:t>
            </w:r>
            <w:proofErr w:type="spellStart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>świata</w:t>
            </w:r>
            <w:proofErr w:type="spellEnd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 xml:space="preserve">. </w:t>
            </w:r>
            <w:proofErr w:type="spellStart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>Kilka</w:t>
            </w:r>
            <w:proofErr w:type="spellEnd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 xml:space="preserve"> </w:t>
            </w:r>
            <w:proofErr w:type="spellStart"/>
            <w:r w:rsidRPr="00E457C5">
              <w:rPr>
                <w:rFonts w:ascii="Corbel" w:hAnsi="Corbel"/>
                <w:b w:val="0"/>
                <w:i/>
                <w:iCs/>
                <w:smallCaps w:val="0"/>
                <w:szCs w:val="24"/>
                <w:lang w:val="de-DE"/>
              </w:rPr>
              <w:t>refleksji</w:t>
            </w:r>
            <w:proofErr w:type="spellEnd"/>
            <w:r w:rsidRPr="00E457C5">
              <w:rPr>
                <w:rFonts w:ascii="Corbel" w:hAnsi="Corbel"/>
                <w:b w:val="0"/>
                <w:smallCaps w:val="0"/>
                <w:szCs w:val="24"/>
                <w:lang w:val="de-DE"/>
              </w:rPr>
              <w:t xml:space="preserve">. </w:t>
            </w:r>
            <w:r w:rsidR="00DF7515" w:rsidRPr="001D533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: Tekst i dyskurs –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Text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und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Diskurs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4, 2011, s. 79-97.</w:t>
            </w:r>
          </w:p>
          <w:p w14:paraId="19BDE9BA" w14:textId="77777777" w:rsid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Bralczyk, Jerzy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(1987):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języku polskiej propagandy politycznej lat siedemdziesiątych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Uppsala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EF5F9" w14:textId="51428F99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Foucault, Michael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(1977):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Archeologia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EF4453" w14:textId="1A2ACAA4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Czachur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Waldemar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/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Miller Dorota (2012):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Niemiecka lingwistyka dyskursu – próba bilansu i perspektywy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W: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Oblicza Komunikacji 5, s. 25–43.</w:t>
            </w:r>
          </w:p>
          <w:p w14:paraId="741CE929" w14:textId="6D3AD930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Habrajska, Grażyna (2005):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Nakłanianie, perswazja, manipulacja językowa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7515" w:rsidRPr="001D533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: Acta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Universitatis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Lodziensis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. Folia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Litteraria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Polonica 7, s. 91-126.</w:t>
            </w:r>
          </w:p>
          <w:p w14:paraId="1429AEE7" w14:textId="5BA38B08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Jäkel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, Olaf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(2003):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Metafory w abstrakcyjnych domenach dyskursu: kognitywno-lingwistyczna analiza metaforycznych modeli aktywności umysłowej, gospodarki i nauki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Kraków.</w:t>
            </w:r>
          </w:p>
          <w:p w14:paraId="1E2781B4" w14:textId="6A4D9B4D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Johnson, Mark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Lakoff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, George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(1988)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Metafory w naszym życiu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Warszawa.</w:t>
            </w:r>
          </w:p>
          <w:p w14:paraId="6CA78931" w14:textId="6706412C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Kamińska-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Szmaj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, Irena (2004):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Propaganda, perswazja, manipulacja – próba uporządkowania pojęć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7515" w:rsidRPr="001D533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: Krzyżanowski, Piotr/ Nowak, Paweł (red.) Manipulacja w języku. Lublin</w:t>
            </w:r>
            <w:r w:rsidR="0024271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5B2765" w14:textId="7EDE718D" w:rsidR="00DF7515" w:rsidRDefault="00DF7515" w:rsidP="00DF751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7515">
              <w:rPr>
                <w:rFonts w:ascii="Corbel" w:hAnsi="Corbel"/>
                <w:b w:val="0"/>
                <w:smallCaps w:val="0"/>
                <w:szCs w:val="24"/>
              </w:rPr>
              <w:t>Kövecses</w:t>
            </w:r>
            <w:proofErr w:type="spellEnd"/>
            <w:r w:rsidRPr="00DF751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7515">
              <w:rPr>
                <w:rFonts w:ascii="Corbel" w:hAnsi="Corbel"/>
                <w:b w:val="0"/>
                <w:smallCaps w:val="0"/>
                <w:szCs w:val="24"/>
              </w:rPr>
              <w:t>Zoltán</w:t>
            </w:r>
            <w:proofErr w:type="spellEnd"/>
            <w:r w:rsidRPr="00DF75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(2011)</w:t>
            </w:r>
            <w:r w:rsidR="00242716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DF75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4271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Język, umysł, kultura. Praktyczne wprowadzenie</w:t>
            </w:r>
            <w:r w:rsidR="0024271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Kraków, 2011</w:t>
            </w:r>
          </w:p>
          <w:p w14:paraId="0595CC91" w14:textId="77777777" w:rsidR="00242716" w:rsidRDefault="00242716" w:rsidP="0024271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Krzyżanowski, Piotr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/ Nowak, Paweł (red.) (2004):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Manipulacja w języku.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Lublin.</w:t>
            </w:r>
          </w:p>
          <w:p w14:paraId="2850F93D" w14:textId="5ED58F8B" w:rsidR="001D5335" w:rsidRPr="001D5335" w:rsidRDefault="001D5335" w:rsidP="00DF751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>Laskowska, Elżbieta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(1999):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Skuteczność słowa w działaniach politycznych i społecznych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. Bydgoszcz.</w:t>
            </w:r>
          </w:p>
          <w:p w14:paraId="45766B0F" w14:textId="77777777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Ożóg, Kazimierz (2001):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Polszczyzna przełomu XX i XXI wieku. Wybrane zagadnienia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. Rzeszów.</w:t>
            </w:r>
          </w:p>
          <w:p w14:paraId="6AF5E661" w14:textId="77777777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Polański, Kazimierz (1999):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Encyklopedia językoznawstwa ogólnego.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Wrocław, Warszawa, Kraków.</w:t>
            </w:r>
          </w:p>
          <w:p w14:paraId="7693FF76" w14:textId="77777777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Puzynina, Jadwiga (1992):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Język wartości.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Warszawa.</w:t>
            </w:r>
          </w:p>
          <w:p w14:paraId="26BC452F" w14:textId="77777777" w:rsid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Skowronek, Katarzyna (1993):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Reklama. Studium </w:t>
            </w:r>
            <w:proofErr w:type="spellStart"/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pragmalingwistyczne</w:t>
            </w:r>
            <w:proofErr w:type="spellEnd"/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Kraków.</w:t>
            </w:r>
          </w:p>
          <w:p w14:paraId="58A8BEDA" w14:textId="5BB96056" w:rsidR="00DF12AB" w:rsidRPr="001D5335" w:rsidRDefault="00DF12AB" w:rsidP="00DF12A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12AB">
              <w:rPr>
                <w:rFonts w:ascii="Corbel" w:hAnsi="Corbel"/>
                <w:b w:val="0"/>
                <w:smallCaps w:val="0"/>
                <w:szCs w:val="24"/>
              </w:rPr>
              <w:t>Tabakowska, Elżbieta (1995): Gramatyka i obrazowanie.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F12AB">
              <w:rPr>
                <w:rFonts w:ascii="Corbel" w:hAnsi="Corbel"/>
                <w:b w:val="0"/>
                <w:smallCaps w:val="0"/>
                <w:szCs w:val="24"/>
              </w:rPr>
              <w:t>Wprowadzenie do językoznawstwa kognitywnego. Kraków.</w:t>
            </w:r>
          </w:p>
          <w:p w14:paraId="1FB6E488" w14:textId="509307DB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Tyszka, Andrzej (1999):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jest kultem wartości. Aksjologia społeczna – studia i szkice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3E8533DE" w14:textId="77777777" w:rsidR="00DF7515" w:rsidRPr="001D5335" w:rsidRDefault="00DF7515" w:rsidP="00DF751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Warchala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(2004):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F751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Horyzonty manipulacji: perswazja, manipulacja, interpretacja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W: Krzyżanowski, Piotr/ Nowak, Paweł (red.) Manipulacja w języku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6A01AF" w14:textId="1723959B" w:rsidR="001D5335" w:rsidRPr="001D5335" w:rsidRDefault="001D5335" w:rsidP="001D533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</w:rPr>
              <w:t>Weigt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, Zenon (2001):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Językowe środki perswazji w tekstach reklam niemieckich i polskich</w:t>
            </w:r>
            <w:r w:rsidRPr="001D533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W: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Habrajska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Grażyna (red.):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Język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w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komunikacji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</w:t>
            </w:r>
            <w:proofErr w:type="spellStart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Łódź</w:t>
            </w:r>
            <w:proofErr w:type="spellEnd"/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s. 24-31.</w:t>
            </w:r>
          </w:p>
          <w:p w14:paraId="29FDB40F" w14:textId="5AB692C0" w:rsidR="00DF7515" w:rsidRPr="00242716" w:rsidRDefault="001D5335" w:rsidP="0024271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Ziem, Alexander (2014): </w:t>
            </w:r>
            <w:r w:rsidRPr="001D5335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Frames of Understanding in Text and Discourse. Theoretical foundations and descriptive applications</w:t>
            </w:r>
            <w:r w:rsidRPr="001D533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 Amsterdam, Philadelphia</w:t>
            </w:r>
          </w:p>
          <w:p w14:paraId="18647671" w14:textId="5BFE4964" w:rsidR="001D5335" w:rsidRPr="001D5335" w:rsidRDefault="001D5335" w:rsidP="00DF7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6AD02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F8B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5F730C" w14:textId="4EC323CB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15206" w14:textId="77777777" w:rsidR="00387CEE" w:rsidRDefault="00387CEE" w:rsidP="00C16ABF">
      <w:pPr>
        <w:spacing w:after="0" w:line="240" w:lineRule="auto"/>
      </w:pPr>
      <w:r>
        <w:separator/>
      </w:r>
    </w:p>
  </w:endnote>
  <w:endnote w:type="continuationSeparator" w:id="0">
    <w:p w14:paraId="29D23817" w14:textId="77777777" w:rsidR="00387CEE" w:rsidRDefault="00387C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85269" w14:textId="77777777" w:rsidR="00387CEE" w:rsidRDefault="00387CEE" w:rsidP="00C16ABF">
      <w:pPr>
        <w:spacing w:after="0" w:line="240" w:lineRule="auto"/>
      </w:pPr>
      <w:r>
        <w:separator/>
      </w:r>
    </w:p>
  </w:footnote>
  <w:footnote w:type="continuationSeparator" w:id="0">
    <w:p w14:paraId="07DD7BD9" w14:textId="77777777" w:rsidR="00387CEE" w:rsidRDefault="00387CEE" w:rsidP="00C16ABF">
      <w:pPr>
        <w:spacing w:after="0" w:line="240" w:lineRule="auto"/>
      </w:pPr>
      <w:r>
        <w:continuationSeparator/>
      </w:r>
    </w:p>
  </w:footnote>
  <w:footnote w:id="1">
    <w:p w14:paraId="12BB96D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980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F56"/>
    <w:rsid w:val="000048FD"/>
    <w:rsid w:val="000077B4"/>
    <w:rsid w:val="00015B8F"/>
    <w:rsid w:val="00022ECE"/>
    <w:rsid w:val="00027240"/>
    <w:rsid w:val="00042A51"/>
    <w:rsid w:val="00042D2E"/>
    <w:rsid w:val="00044C82"/>
    <w:rsid w:val="00063EC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5335"/>
    <w:rsid w:val="001D657B"/>
    <w:rsid w:val="001D7B54"/>
    <w:rsid w:val="001E0209"/>
    <w:rsid w:val="001E7CAA"/>
    <w:rsid w:val="001F2CA2"/>
    <w:rsid w:val="002144C0"/>
    <w:rsid w:val="00214B11"/>
    <w:rsid w:val="0022477D"/>
    <w:rsid w:val="002278A9"/>
    <w:rsid w:val="002336F9"/>
    <w:rsid w:val="00234E82"/>
    <w:rsid w:val="0024028F"/>
    <w:rsid w:val="00242716"/>
    <w:rsid w:val="00244ABC"/>
    <w:rsid w:val="00281FF2"/>
    <w:rsid w:val="0028416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2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30"/>
    <w:rsid w:val="00363F78"/>
    <w:rsid w:val="00387CE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D8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5C1"/>
    <w:rsid w:val="004A3EEA"/>
    <w:rsid w:val="004A4D1F"/>
    <w:rsid w:val="004C453F"/>
    <w:rsid w:val="004D5282"/>
    <w:rsid w:val="004F1551"/>
    <w:rsid w:val="004F1722"/>
    <w:rsid w:val="004F55A3"/>
    <w:rsid w:val="00501235"/>
    <w:rsid w:val="00501E5C"/>
    <w:rsid w:val="0050496F"/>
    <w:rsid w:val="00513B6F"/>
    <w:rsid w:val="00517C63"/>
    <w:rsid w:val="005363C4"/>
    <w:rsid w:val="00536BDE"/>
    <w:rsid w:val="0054067F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CE0"/>
    <w:rsid w:val="006007E0"/>
    <w:rsid w:val="006018D3"/>
    <w:rsid w:val="0061029B"/>
    <w:rsid w:val="00617230"/>
    <w:rsid w:val="00621CE1"/>
    <w:rsid w:val="0062692F"/>
    <w:rsid w:val="00627FC9"/>
    <w:rsid w:val="00645BE1"/>
    <w:rsid w:val="00647FA8"/>
    <w:rsid w:val="00650C5F"/>
    <w:rsid w:val="00654934"/>
    <w:rsid w:val="006620D9"/>
    <w:rsid w:val="00671958"/>
    <w:rsid w:val="00675843"/>
    <w:rsid w:val="00683927"/>
    <w:rsid w:val="00696477"/>
    <w:rsid w:val="006D050F"/>
    <w:rsid w:val="006D3AB7"/>
    <w:rsid w:val="006D6139"/>
    <w:rsid w:val="006E5D65"/>
    <w:rsid w:val="006F1282"/>
    <w:rsid w:val="006F1FBC"/>
    <w:rsid w:val="006F31E2"/>
    <w:rsid w:val="0070073A"/>
    <w:rsid w:val="00706544"/>
    <w:rsid w:val="007072BA"/>
    <w:rsid w:val="0071620A"/>
    <w:rsid w:val="00724677"/>
    <w:rsid w:val="00725459"/>
    <w:rsid w:val="007327BD"/>
    <w:rsid w:val="00734608"/>
    <w:rsid w:val="00743C07"/>
    <w:rsid w:val="00745302"/>
    <w:rsid w:val="007461D6"/>
    <w:rsid w:val="00746EC8"/>
    <w:rsid w:val="00763BF1"/>
    <w:rsid w:val="00764FF7"/>
    <w:rsid w:val="00766FD4"/>
    <w:rsid w:val="0078168C"/>
    <w:rsid w:val="00785849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606"/>
    <w:rsid w:val="008449B3"/>
    <w:rsid w:val="0085747A"/>
    <w:rsid w:val="00884922"/>
    <w:rsid w:val="00885F64"/>
    <w:rsid w:val="008917F9"/>
    <w:rsid w:val="008A45F7"/>
    <w:rsid w:val="008B7E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B8"/>
    <w:rsid w:val="008F6E29"/>
    <w:rsid w:val="00916188"/>
    <w:rsid w:val="00923D7D"/>
    <w:rsid w:val="00931D34"/>
    <w:rsid w:val="00933515"/>
    <w:rsid w:val="00942216"/>
    <w:rsid w:val="009508DF"/>
    <w:rsid w:val="00950DAC"/>
    <w:rsid w:val="00954A07"/>
    <w:rsid w:val="009874FA"/>
    <w:rsid w:val="00997F14"/>
    <w:rsid w:val="009A78D9"/>
    <w:rsid w:val="009C1331"/>
    <w:rsid w:val="009C3E31"/>
    <w:rsid w:val="009C54AE"/>
    <w:rsid w:val="009C7386"/>
    <w:rsid w:val="009C788E"/>
    <w:rsid w:val="009E3B41"/>
    <w:rsid w:val="009F232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43"/>
    <w:rsid w:val="00A84C85"/>
    <w:rsid w:val="00A97DE1"/>
    <w:rsid w:val="00AB046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D7"/>
    <w:rsid w:val="00B3130B"/>
    <w:rsid w:val="00B40ADB"/>
    <w:rsid w:val="00B43B77"/>
    <w:rsid w:val="00B43E80"/>
    <w:rsid w:val="00B607DB"/>
    <w:rsid w:val="00B66529"/>
    <w:rsid w:val="00B75946"/>
    <w:rsid w:val="00B8056E"/>
    <w:rsid w:val="00B80CB7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D13"/>
    <w:rsid w:val="00C131B5"/>
    <w:rsid w:val="00C16ABF"/>
    <w:rsid w:val="00C170AE"/>
    <w:rsid w:val="00C26CB7"/>
    <w:rsid w:val="00C31305"/>
    <w:rsid w:val="00C324C1"/>
    <w:rsid w:val="00C36992"/>
    <w:rsid w:val="00C50F7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298"/>
    <w:rsid w:val="00D17C3C"/>
    <w:rsid w:val="00D26B2C"/>
    <w:rsid w:val="00D352C9"/>
    <w:rsid w:val="00D425B2"/>
    <w:rsid w:val="00D428D6"/>
    <w:rsid w:val="00D552B2"/>
    <w:rsid w:val="00D608D1"/>
    <w:rsid w:val="00D70AEF"/>
    <w:rsid w:val="00D74119"/>
    <w:rsid w:val="00D8075B"/>
    <w:rsid w:val="00D8678B"/>
    <w:rsid w:val="00DA2114"/>
    <w:rsid w:val="00DD5C60"/>
    <w:rsid w:val="00DE09C0"/>
    <w:rsid w:val="00DE4A14"/>
    <w:rsid w:val="00DF04BC"/>
    <w:rsid w:val="00DF12AB"/>
    <w:rsid w:val="00DF320D"/>
    <w:rsid w:val="00DF71C8"/>
    <w:rsid w:val="00DF7515"/>
    <w:rsid w:val="00E129B8"/>
    <w:rsid w:val="00E21E7D"/>
    <w:rsid w:val="00E22FBC"/>
    <w:rsid w:val="00E24BF5"/>
    <w:rsid w:val="00E25338"/>
    <w:rsid w:val="00E40A9F"/>
    <w:rsid w:val="00E457C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2AD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5F3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0DD26-9435-4CF3-9EE7-848343CE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1414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Kwak</cp:lastModifiedBy>
  <cp:revision>2</cp:revision>
  <cp:lastPrinted>2021-12-13T11:23:00Z</cp:lastPrinted>
  <dcterms:created xsi:type="dcterms:W3CDTF">2025-10-07T12:36:00Z</dcterms:created>
  <dcterms:modified xsi:type="dcterms:W3CDTF">2025-10-07T12:36:00Z</dcterms:modified>
</cp:coreProperties>
</file>